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CC4D" w14:textId="1AB58AB5" w:rsidR="008075EC" w:rsidRPr="008075EC" w:rsidRDefault="007A10DA" w:rsidP="0091516F">
      <w:pPr>
        <w:tabs>
          <w:tab w:val="right" w:pos="10490"/>
        </w:tabs>
        <w:spacing w:before="720"/>
        <w:rPr>
          <w:rFonts w:ascii="Tahoma" w:hAnsi="Tahoma" w:cs="Tahoma"/>
          <w:b/>
          <w:bCs/>
          <w:sz w:val="24"/>
          <w:lang w:val="de-DE"/>
        </w:rPr>
      </w:pPr>
      <w:r>
        <w:rPr>
          <w:rFonts w:ascii="Tahoma" w:hAnsi="Tahoma" w:cs="Tahoma"/>
          <w:b/>
          <w:bCs/>
          <w:iCs/>
          <w:sz w:val="36"/>
          <w:szCs w:val="24"/>
          <w:lang w:val="de-DE"/>
        </w:rPr>
        <w:t>Sedimentationsanlage</w:t>
      </w:r>
      <w:r w:rsidR="00557810">
        <w:rPr>
          <w:rFonts w:ascii="Tahoma" w:hAnsi="Tahoma" w:cs="Tahoma"/>
          <w:b/>
          <w:bCs/>
          <w:iCs/>
          <w:sz w:val="36"/>
          <w:szCs w:val="24"/>
          <w:lang w:val="de-DE"/>
        </w:rPr>
        <w:t xml:space="preserve"> </w:t>
      </w:r>
      <w:r w:rsidR="008075EC" w:rsidRPr="008075EC">
        <w:rPr>
          <w:b/>
          <w:bCs/>
          <w:sz w:val="20"/>
          <w:lang w:val="de-DE"/>
        </w:rPr>
        <w:t xml:space="preserve"> </w:t>
      </w:r>
      <w:r w:rsidR="008075EC" w:rsidRPr="008075EC">
        <w:rPr>
          <w:b/>
          <w:bCs/>
          <w:sz w:val="20"/>
          <w:lang w:val="de-DE"/>
        </w:rPr>
        <w:tab/>
      </w:r>
      <w:r w:rsidR="008075EC" w:rsidRPr="008075EC">
        <w:rPr>
          <w:rFonts w:ascii="Tahoma" w:hAnsi="Tahoma" w:cs="Tahoma"/>
          <w:b/>
          <w:bCs/>
          <w:sz w:val="24"/>
          <w:lang w:val="de-DE"/>
        </w:rPr>
        <w:t>DIN EN 1917 - DIN V 4034-1</w:t>
      </w:r>
    </w:p>
    <w:p w14:paraId="505F9AEF" w14:textId="480E2A38" w:rsidR="008075EC" w:rsidRPr="008075EC" w:rsidRDefault="007A10DA" w:rsidP="008075EC">
      <w:pPr>
        <w:spacing w:before="120"/>
        <w:rPr>
          <w:rFonts w:ascii="Tahoma" w:hAnsi="Tahoma" w:cs="Tahoma"/>
          <w:b/>
          <w:bCs/>
          <w:sz w:val="24"/>
          <w:lang w:val="de-DE"/>
        </w:rPr>
      </w:pPr>
      <w:r w:rsidRPr="00513F38">
        <w:rPr>
          <w:rFonts w:ascii="Tahoma" w:hAnsi="Tahoma" w:cs="Tahoma"/>
          <w:b/>
          <w:bCs/>
          <w:sz w:val="28"/>
          <w:szCs w:val="24"/>
          <w:lang w:val="de-DE"/>
        </w:rPr>
        <w:t>Hydroshark</w:t>
      </w:r>
      <w:r w:rsidR="00E919C7" w:rsidRPr="00513F38">
        <w:rPr>
          <w:rFonts w:ascii="Tahoma" w:hAnsi="Tahoma" w:cs="Tahoma"/>
          <w:b/>
          <w:bCs/>
          <w:sz w:val="28"/>
          <w:szCs w:val="24"/>
          <w:lang w:val="de-DE"/>
        </w:rPr>
        <w:t xml:space="preserve"> </w:t>
      </w:r>
      <w:r w:rsidR="00CF5554" w:rsidRPr="00513F38">
        <w:rPr>
          <w:rFonts w:ascii="Tahoma" w:hAnsi="Tahoma" w:cs="Tahoma"/>
          <w:b/>
          <w:bCs/>
          <w:sz w:val="28"/>
          <w:szCs w:val="24"/>
          <w:lang w:val="de-DE"/>
        </w:rPr>
        <w:t>20</w:t>
      </w:r>
      <w:r w:rsidR="008F6578" w:rsidRPr="00513F38">
        <w:rPr>
          <w:rFonts w:ascii="Tahoma" w:hAnsi="Tahoma" w:cs="Tahoma"/>
          <w:b/>
          <w:bCs/>
          <w:sz w:val="28"/>
          <w:szCs w:val="24"/>
          <w:lang w:val="de-DE"/>
        </w:rPr>
        <w:t>00</w:t>
      </w:r>
      <w:r w:rsidR="00F72FF5">
        <w:rPr>
          <w:rFonts w:ascii="Tahoma" w:hAnsi="Tahoma" w:cs="Tahoma"/>
          <w:b/>
          <w:bCs/>
          <w:sz w:val="24"/>
          <w:lang w:val="de-DE"/>
        </w:rPr>
        <w:br/>
      </w:r>
    </w:p>
    <w:p w14:paraId="33BE5212" w14:textId="33D2FB69" w:rsidR="00350A19" w:rsidRPr="00350A19" w:rsidRDefault="00350A19" w:rsidP="00350A19">
      <w:pPr>
        <w:spacing w:before="240"/>
        <w:jc w:val="both"/>
        <w:rPr>
          <w:rFonts w:ascii="Tahoma" w:hAnsi="Tahoma" w:cs="Tahoma"/>
          <w:b/>
          <w:bCs/>
          <w:sz w:val="28"/>
          <w:lang w:val="de-DE"/>
        </w:rPr>
      </w:pPr>
      <w:r w:rsidRPr="00350A19">
        <w:rPr>
          <w:rFonts w:ascii="Tahoma" w:hAnsi="Tahoma" w:cs="Tahoma"/>
          <w:sz w:val="24"/>
          <w:lang w:val="de-DE"/>
        </w:rPr>
        <w:t xml:space="preserve">Tangentiale Einleitung des Niederschlagswassers in die Mitte des Systems. Die Sedimentation von Feststoffen findet durch den sogenannten Teetasseneffekt statt. Die Feststoffe sinken in den untenliegenden Schlammfang, der durch einen Gitterrost und Strömungsbrecher hydraulisch vom Behandlungsraum getrennt ist, so dass es bei Starkregen zu keiner Remobilisierung der abgesetzten Partikel kommt. Im Außenring der Sedimentationsanlage fließt das Wasser gleichmäßig nach oben. Ein Zackenwehr </w:t>
      </w:r>
      <w:r>
        <w:rPr>
          <w:rFonts w:ascii="Tahoma" w:hAnsi="Tahoma" w:cs="Tahoma"/>
          <w:sz w:val="24"/>
          <w:lang w:val="de-DE"/>
        </w:rPr>
        <w:t xml:space="preserve">verhindert Kurzschlussströmungen und sorgt für </w:t>
      </w:r>
      <w:r w:rsidRPr="00350A19">
        <w:rPr>
          <w:rFonts w:ascii="Tahoma" w:hAnsi="Tahoma" w:cs="Tahoma"/>
          <w:sz w:val="24"/>
          <w:lang w:val="de-DE"/>
        </w:rPr>
        <w:t>eine möglichst homogene Strömung. Über das Zackenwehr fließt das Wasser anschließend in den Ablauf. Leichtstoffe wie Öle oder Pollen werden effektiv zurückgehalten.</w:t>
      </w:r>
      <w:r>
        <w:rPr>
          <w:rFonts w:ascii="Tahoma" w:hAnsi="Tahoma" w:cs="Tahoma"/>
          <w:sz w:val="24"/>
          <w:lang w:val="de-DE"/>
        </w:rPr>
        <w:t xml:space="preserve"> </w:t>
      </w:r>
      <w:r w:rsidRPr="00350A19">
        <w:rPr>
          <w:rFonts w:ascii="Tahoma" w:hAnsi="Tahoma" w:cs="Tahoma"/>
          <w:sz w:val="24"/>
          <w:lang w:val="de-DE"/>
        </w:rPr>
        <w:t xml:space="preserve">Die Sedimentationsanlage hat keinen Höhenversatz zwischen Zu- und Ablauf. Das System kann nicht verblocken. </w:t>
      </w:r>
    </w:p>
    <w:p w14:paraId="057C674C" w14:textId="77777777" w:rsidR="00350A19" w:rsidRDefault="00350A19" w:rsidP="00E919C7">
      <w:pPr>
        <w:rPr>
          <w:rFonts w:ascii="Tahoma" w:hAnsi="Tahoma" w:cs="Tahoma"/>
          <w:sz w:val="24"/>
        </w:rPr>
      </w:pPr>
    </w:p>
    <w:p w14:paraId="7F309F19" w14:textId="2FDB91D8" w:rsidR="00350A19" w:rsidRPr="00350A19" w:rsidRDefault="00350A19" w:rsidP="00E919C7">
      <w:pPr>
        <w:rPr>
          <w:rFonts w:ascii="Tahoma" w:hAnsi="Tahoma" w:cs="Tahoma"/>
          <w:b/>
          <w:bCs/>
          <w:sz w:val="24"/>
          <w:lang w:val="de-DE"/>
        </w:rPr>
      </w:pPr>
      <w:r w:rsidRPr="00350A19">
        <w:rPr>
          <w:rFonts w:ascii="Tahoma" w:hAnsi="Tahoma" w:cs="Tahoma"/>
          <w:b/>
          <w:bCs/>
          <w:sz w:val="24"/>
          <w:lang w:val="de-DE"/>
        </w:rPr>
        <w:t xml:space="preserve">Regenwasser-Behandlungsanlage Hydroshark </w:t>
      </w:r>
      <w:r w:rsidR="00CF5554">
        <w:rPr>
          <w:rFonts w:ascii="Tahoma" w:hAnsi="Tahoma" w:cs="Tahoma"/>
          <w:b/>
          <w:bCs/>
          <w:sz w:val="24"/>
          <w:lang w:val="de-DE"/>
        </w:rPr>
        <w:t>20</w:t>
      </w:r>
      <w:r w:rsidR="00B02146">
        <w:rPr>
          <w:rFonts w:ascii="Tahoma" w:hAnsi="Tahoma" w:cs="Tahoma"/>
          <w:b/>
          <w:bCs/>
          <w:sz w:val="24"/>
          <w:lang w:val="de-DE"/>
        </w:rPr>
        <w:t>0</w:t>
      </w:r>
      <w:r w:rsidRPr="00350A19">
        <w:rPr>
          <w:rFonts w:ascii="Tahoma" w:hAnsi="Tahoma" w:cs="Tahoma"/>
          <w:b/>
          <w:bCs/>
          <w:sz w:val="24"/>
          <w:lang w:val="de-DE"/>
        </w:rPr>
        <w:t xml:space="preserve">0 bestehend aus: </w:t>
      </w:r>
    </w:p>
    <w:p w14:paraId="6AF9A594" w14:textId="77777777" w:rsidR="00313F18" w:rsidRDefault="00313F18" w:rsidP="001C685D">
      <w:pPr>
        <w:rPr>
          <w:rFonts w:ascii="Tahoma" w:hAnsi="Tahoma" w:cs="Tahoma"/>
          <w:sz w:val="24"/>
          <w:lang w:val="de-DE"/>
        </w:rPr>
      </w:pPr>
    </w:p>
    <w:p w14:paraId="7E3D7C10" w14:textId="1C245AAE" w:rsidR="001C685D" w:rsidRDefault="00350A19" w:rsidP="00313F18">
      <w:pPr>
        <w:pStyle w:val="Listenabsatz"/>
        <w:numPr>
          <w:ilvl w:val="0"/>
          <w:numId w:val="2"/>
        </w:numPr>
        <w:rPr>
          <w:rFonts w:ascii="Tahoma" w:hAnsi="Tahoma" w:cs="Tahoma"/>
          <w:sz w:val="24"/>
          <w:lang w:val="de-DE"/>
        </w:rPr>
      </w:pPr>
      <w:r>
        <w:rPr>
          <w:rFonts w:ascii="Tahoma" w:hAnsi="Tahoma" w:cs="Tahoma"/>
          <w:sz w:val="24"/>
          <w:lang w:val="de-DE"/>
        </w:rPr>
        <w:t xml:space="preserve">Betonschacht DN </w:t>
      </w:r>
      <w:r w:rsidR="00CF5554">
        <w:rPr>
          <w:rFonts w:ascii="Tahoma" w:hAnsi="Tahoma" w:cs="Tahoma"/>
          <w:sz w:val="24"/>
          <w:lang w:val="de-DE"/>
        </w:rPr>
        <w:t>20</w:t>
      </w:r>
      <w:r>
        <w:rPr>
          <w:rFonts w:ascii="Tahoma" w:hAnsi="Tahoma" w:cs="Tahoma"/>
          <w:sz w:val="24"/>
          <w:lang w:val="de-DE"/>
        </w:rPr>
        <w:t>00 als monolithisches Bauteil, Mindestbetongüte C 40/50</w:t>
      </w:r>
      <w:r>
        <w:rPr>
          <w:rFonts w:ascii="Tahoma" w:hAnsi="Tahoma" w:cs="Tahoma"/>
          <w:sz w:val="24"/>
          <w:lang w:val="de-DE"/>
        </w:rPr>
        <w:br/>
        <w:t>Expositionsklasse XA2 nach DIN EN 206</w:t>
      </w:r>
    </w:p>
    <w:p w14:paraId="3EE09091" w14:textId="4D028E22"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Werkseitig eingebautem Sedimentationselement Typ Hydroshark </w:t>
      </w:r>
      <w:r w:rsidR="00CF5554">
        <w:rPr>
          <w:rFonts w:ascii="Tahoma" w:hAnsi="Tahoma" w:cs="Tahoma"/>
          <w:sz w:val="24"/>
          <w:lang w:val="de-DE"/>
        </w:rPr>
        <w:t>20</w:t>
      </w:r>
      <w:r w:rsidR="00B02146">
        <w:rPr>
          <w:rFonts w:ascii="Tahoma" w:hAnsi="Tahoma" w:cs="Tahoma"/>
          <w:sz w:val="24"/>
          <w:lang w:val="de-DE"/>
        </w:rPr>
        <w:t>00</w:t>
      </w:r>
    </w:p>
    <w:p w14:paraId="4816EB68" w14:textId="26142197"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Schlammrückhaltevolumen: </w:t>
      </w:r>
      <w:r w:rsidR="00CF5554">
        <w:rPr>
          <w:rFonts w:ascii="Tahoma" w:hAnsi="Tahoma" w:cs="Tahoma"/>
          <w:sz w:val="24"/>
          <w:lang w:val="de-DE"/>
        </w:rPr>
        <w:t>1715</w:t>
      </w:r>
      <w:r w:rsidR="00B02146">
        <w:rPr>
          <w:rFonts w:ascii="Tahoma" w:hAnsi="Tahoma" w:cs="Tahoma"/>
          <w:sz w:val="24"/>
          <w:lang w:val="de-DE"/>
        </w:rPr>
        <w:t xml:space="preserve"> </w:t>
      </w:r>
      <w:r w:rsidRPr="00350A19">
        <w:rPr>
          <w:rFonts w:ascii="Tahoma" w:hAnsi="Tahoma" w:cs="Tahoma"/>
          <w:sz w:val="24"/>
          <w:lang w:val="de-DE"/>
        </w:rPr>
        <w:t>Liter</w:t>
      </w:r>
    </w:p>
    <w:p w14:paraId="3251E1BA" w14:textId="3B7FD17C"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Ölrückhaltevolumen: </w:t>
      </w:r>
      <w:r w:rsidR="00CF5554">
        <w:rPr>
          <w:rFonts w:ascii="Tahoma" w:hAnsi="Tahoma" w:cs="Tahoma"/>
          <w:sz w:val="24"/>
          <w:lang w:val="de-DE"/>
        </w:rPr>
        <w:t>61</w:t>
      </w:r>
      <w:r w:rsidR="00B02146">
        <w:rPr>
          <w:rFonts w:ascii="Tahoma" w:hAnsi="Tahoma" w:cs="Tahoma"/>
          <w:sz w:val="24"/>
          <w:lang w:val="de-DE"/>
        </w:rPr>
        <w:t>0</w:t>
      </w:r>
      <w:r w:rsidRPr="00350A19">
        <w:rPr>
          <w:rFonts w:ascii="Tahoma" w:hAnsi="Tahoma" w:cs="Tahoma"/>
          <w:sz w:val="24"/>
          <w:lang w:val="de-DE"/>
        </w:rPr>
        <w:t xml:space="preserve"> Liter</w:t>
      </w:r>
    </w:p>
    <w:p w14:paraId="0A4D7A76" w14:textId="20F54367"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Maximale Anschlussnennweite: DN </w:t>
      </w:r>
      <w:r w:rsidR="00CF5554">
        <w:rPr>
          <w:rFonts w:ascii="Tahoma" w:hAnsi="Tahoma" w:cs="Tahoma"/>
          <w:sz w:val="24"/>
          <w:lang w:val="de-DE"/>
        </w:rPr>
        <w:t>6</w:t>
      </w:r>
      <w:r w:rsidRPr="00350A19">
        <w:rPr>
          <w:rFonts w:ascii="Tahoma" w:hAnsi="Tahoma" w:cs="Tahoma"/>
          <w:sz w:val="24"/>
          <w:lang w:val="de-DE"/>
        </w:rPr>
        <w:t>00</w:t>
      </w:r>
    </w:p>
    <w:p w14:paraId="595FA4D5" w14:textId="1B776C49" w:rsidR="00350A19" w:rsidRPr="00350A19" w:rsidRDefault="00350A19" w:rsidP="00350A19">
      <w:pPr>
        <w:pStyle w:val="Listenabsatz"/>
        <w:numPr>
          <w:ilvl w:val="0"/>
          <w:numId w:val="2"/>
        </w:numPr>
        <w:rPr>
          <w:rFonts w:ascii="Tahoma" w:hAnsi="Tahoma" w:cs="Tahoma"/>
          <w:sz w:val="24"/>
          <w:lang w:val="de-DE"/>
        </w:rPr>
      </w:pPr>
      <w:r>
        <w:rPr>
          <w:rFonts w:ascii="Tahoma" w:hAnsi="Tahoma" w:cs="Tahoma"/>
          <w:sz w:val="24"/>
          <w:lang w:val="de-DE"/>
        </w:rPr>
        <w:t>Ohne Höhenversatz</w:t>
      </w:r>
    </w:p>
    <w:p w14:paraId="45FF19D9" w14:textId="210651CB" w:rsidR="00350A19" w:rsidRDefault="00350A19" w:rsidP="008075EC">
      <w:pPr>
        <w:pStyle w:val="Listenabsatz"/>
        <w:numPr>
          <w:ilvl w:val="0"/>
          <w:numId w:val="2"/>
        </w:numPr>
        <w:rPr>
          <w:rFonts w:ascii="Tahoma" w:hAnsi="Tahoma" w:cs="Tahoma"/>
          <w:sz w:val="24"/>
          <w:lang w:val="de-DE"/>
        </w:rPr>
      </w:pPr>
      <w:r w:rsidRPr="00350A19">
        <w:rPr>
          <w:rFonts w:ascii="Tahoma" w:hAnsi="Tahoma" w:cs="Tahoma"/>
          <w:sz w:val="24"/>
          <w:lang w:val="de-DE"/>
        </w:rPr>
        <w:t xml:space="preserve">mit Abdeckplatte DN </w:t>
      </w:r>
      <w:r w:rsidR="00CF5554">
        <w:rPr>
          <w:rFonts w:ascii="Tahoma" w:hAnsi="Tahoma" w:cs="Tahoma"/>
          <w:sz w:val="24"/>
          <w:lang w:val="de-DE"/>
        </w:rPr>
        <w:t>20</w:t>
      </w:r>
      <w:r w:rsidRPr="00350A19">
        <w:rPr>
          <w:rFonts w:ascii="Tahoma" w:hAnsi="Tahoma" w:cs="Tahoma"/>
          <w:sz w:val="24"/>
          <w:lang w:val="de-DE"/>
        </w:rPr>
        <w:t xml:space="preserve">00 Einstiegsöffnung NW 625 mm / SLW 60 </w:t>
      </w:r>
    </w:p>
    <w:p w14:paraId="6CA8D03C" w14:textId="78243C71" w:rsidR="00350A19" w:rsidRDefault="00350A19" w:rsidP="00350A19">
      <w:pPr>
        <w:rPr>
          <w:rFonts w:ascii="Tahoma" w:hAnsi="Tahoma" w:cs="Tahoma"/>
          <w:sz w:val="24"/>
          <w:lang w:val="de-DE"/>
        </w:rPr>
      </w:pPr>
    </w:p>
    <w:p w14:paraId="52CD551B" w14:textId="4C3FDFF7" w:rsidR="00557810" w:rsidRDefault="00350A19" w:rsidP="00350A19">
      <w:pPr>
        <w:jc w:val="both"/>
        <w:rPr>
          <w:rFonts w:ascii="Tahoma" w:hAnsi="Tahoma" w:cs="Tahoma"/>
          <w:b/>
          <w:bCs/>
          <w:sz w:val="24"/>
          <w:lang w:val="de-DE"/>
        </w:rPr>
      </w:pPr>
      <w:r w:rsidRPr="00350A19">
        <w:rPr>
          <w:rFonts w:ascii="Tahoma" w:hAnsi="Tahoma" w:cs="Tahoma"/>
          <w:b/>
          <w:bCs/>
          <w:sz w:val="24"/>
          <w:lang w:val="de-DE"/>
        </w:rPr>
        <w:t>Regenwasserbehandlungsanlage mit nachfolgenden Nachweisen und durch</w:t>
      </w:r>
      <w:r>
        <w:rPr>
          <w:rFonts w:ascii="Tahoma" w:hAnsi="Tahoma" w:cs="Tahoma"/>
          <w:b/>
          <w:bCs/>
          <w:sz w:val="24"/>
          <w:lang w:val="de-DE"/>
        </w:rPr>
        <w:t xml:space="preserve"> </w:t>
      </w:r>
      <w:r w:rsidRPr="00350A19">
        <w:rPr>
          <w:rFonts w:ascii="Tahoma" w:hAnsi="Tahoma" w:cs="Tahoma"/>
          <w:b/>
          <w:bCs/>
          <w:sz w:val="24"/>
          <w:lang w:val="de-DE"/>
        </w:rPr>
        <w:t>unabhängige Institute geprüft:</w:t>
      </w:r>
    </w:p>
    <w:p w14:paraId="497FE37E" w14:textId="4A472DAB" w:rsidR="00350A19" w:rsidRDefault="00350A19" w:rsidP="00350A19">
      <w:pPr>
        <w:jc w:val="both"/>
        <w:rPr>
          <w:rFonts w:ascii="Tahoma" w:hAnsi="Tahoma" w:cs="Tahoma"/>
          <w:b/>
          <w:bCs/>
          <w:sz w:val="24"/>
          <w:lang w:val="de-DE"/>
        </w:rPr>
      </w:pPr>
    </w:p>
    <w:p w14:paraId="5AAF0501" w14:textId="01C94906"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Einordnung und Auslegung nach DWA-A 102</w:t>
      </w:r>
    </w:p>
    <w:p w14:paraId="075FD8A0" w14:textId="254444D5"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Einordnung und Auslegung nach DWA-M 153</w:t>
      </w:r>
    </w:p>
    <w:p w14:paraId="03061CC3" w14:textId="09C906C9" w:rsidR="00350A19" w:rsidRPr="00350A19" w:rsidRDefault="00350A19" w:rsidP="00F72FF5">
      <w:pPr>
        <w:pStyle w:val="Listenabsatz"/>
        <w:numPr>
          <w:ilvl w:val="0"/>
          <w:numId w:val="2"/>
        </w:numPr>
        <w:ind w:right="-82"/>
        <w:rPr>
          <w:rFonts w:ascii="Tahoma" w:hAnsi="Tahoma" w:cs="Tahoma"/>
          <w:sz w:val="24"/>
          <w:lang w:val="de-DE"/>
        </w:rPr>
      </w:pPr>
      <w:r w:rsidRPr="00350A19">
        <w:rPr>
          <w:rFonts w:ascii="Tahoma" w:hAnsi="Tahoma" w:cs="Tahoma"/>
          <w:sz w:val="24"/>
          <w:lang w:val="de-DE"/>
        </w:rPr>
        <w:t xml:space="preserve">Verhinderung der </w:t>
      </w:r>
      <w:proofErr w:type="spellStart"/>
      <w:r w:rsidRPr="00350A19">
        <w:rPr>
          <w:rFonts w:ascii="Tahoma" w:hAnsi="Tahoma" w:cs="Tahoma"/>
          <w:sz w:val="24"/>
          <w:lang w:val="de-DE"/>
        </w:rPr>
        <w:t>Remobilisierung</w:t>
      </w:r>
      <w:proofErr w:type="spellEnd"/>
      <w:r w:rsidRPr="00350A19">
        <w:rPr>
          <w:rFonts w:ascii="Tahoma" w:hAnsi="Tahoma" w:cs="Tahoma"/>
          <w:sz w:val="24"/>
          <w:lang w:val="de-DE"/>
        </w:rPr>
        <w:t xml:space="preserve"> &gt;250 l/(s*ha) gem. Anschlussfläche geprüft </w:t>
      </w:r>
      <w:r w:rsidR="0018775E">
        <w:rPr>
          <w:rFonts w:ascii="Tahoma" w:hAnsi="Tahoma" w:cs="Tahoma"/>
          <w:sz w:val="24"/>
          <w:lang w:val="de-DE"/>
        </w:rPr>
        <w:t xml:space="preserve">durch </w:t>
      </w:r>
      <w:r w:rsidR="00F72FF5">
        <w:rPr>
          <w:rFonts w:ascii="Tahoma" w:hAnsi="Tahoma" w:cs="Tahoma"/>
          <w:sz w:val="24"/>
          <w:lang w:val="de-DE"/>
        </w:rPr>
        <w:t xml:space="preserve">das </w:t>
      </w:r>
      <w:r w:rsidRPr="00350A19">
        <w:rPr>
          <w:rFonts w:ascii="Tahoma" w:hAnsi="Tahoma" w:cs="Tahoma"/>
          <w:sz w:val="24"/>
          <w:lang w:val="de-DE"/>
        </w:rPr>
        <w:t>IKT</w:t>
      </w:r>
    </w:p>
    <w:p w14:paraId="7ADBF5B0" w14:textId="24E6AB9A"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Hydraulische Leistung nach DIN 1986-100 &gt;416 l/(s*ha) gem. Anschlussfläche geprüft durch das</w:t>
      </w:r>
      <w:r>
        <w:rPr>
          <w:rFonts w:ascii="Tahoma" w:hAnsi="Tahoma" w:cs="Tahoma"/>
          <w:sz w:val="24"/>
          <w:lang w:val="de-DE"/>
        </w:rPr>
        <w:t xml:space="preserve"> </w:t>
      </w:r>
      <w:r w:rsidRPr="00350A19">
        <w:rPr>
          <w:rFonts w:ascii="Tahoma" w:hAnsi="Tahoma" w:cs="Tahoma"/>
          <w:sz w:val="24"/>
          <w:lang w:val="de-DE"/>
        </w:rPr>
        <w:t>IKT</w:t>
      </w:r>
    </w:p>
    <w:p w14:paraId="77092A40" w14:textId="4A19E0F9"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Schwimm- &amp; Schwebstoffrückhalt mit zusätzlichem Abweiser bis zu &gt;99,9% Rückhalt geprüft</w:t>
      </w:r>
      <w:r>
        <w:rPr>
          <w:rFonts w:ascii="Tahoma" w:hAnsi="Tahoma" w:cs="Tahoma"/>
          <w:sz w:val="24"/>
          <w:lang w:val="de-DE"/>
        </w:rPr>
        <w:t xml:space="preserve"> </w:t>
      </w:r>
      <w:r w:rsidRPr="00350A19">
        <w:rPr>
          <w:rFonts w:ascii="Tahoma" w:hAnsi="Tahoma" w:cs="Tahoma"/>
          <w:sz w:val="24"/>
          <w:lang w:val="de-DE"/>
        </w:rPr>
        <w:t>durch das IKT</w:t>
      </w:r>
    </w:p>
    <w:p w14:paraId="5E35DA32" w14:textId="22A2827F"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Leichtstoffrückhalt bis zu &gt;98% (Abscheider Klasse II) in Anlehnung an die DIN EN 858-1 geprüft durch das IKT</w:t>
      </w:r>
    </w:p>
    <w:p w14:paraId="5300AA99" w14:textId="54D15BC6"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Nachgewiesener AFS63 Rückhalt geprüft durch das IKT / Dr.-Ing. Martina Dierschke </w:t>
      </w:r>
    </w:p>
    <w:p w14:paraId="5B9D81C7" w14:textId="5AFAAC6C"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Nachgewiesener AFS Rückhalt geprüft durch das IKT / Dr.-Ing. Martina Dierschke </w:t>
      </w:r>
    </w:p>
    <w:p w14:paraId="44889319" w14:textId="66D1B2BA" w:rsidR="00350A19" w:rsidRPr="00350A19" w:rsidRDefault="00350A19" w:rsidP="00350A19">
      <w:pPr>
        <w:pStyle w:val="Listenabsatz"/>
        <w:numPr>
          <w:ilvl w:val="0"/>
          <w:numId w:val="2"/>
        </w:numPr>
        <w:rPr>
          <w:rFonts w:ascii="Tahoma" w:hAnsi="Tahoma" w:cs="Tahoma"/>
          <w:sz w:val="24"/>
          <w:lang w:val="de-DE"/>
        </w:rPr>
      </w:pPr>
      <w:r>
        <w:rPr>
          <w:rFonts w:ascii="Tahoma" w:hAnsi="Tahoma" w:cs="Tahoma"/>
          <w:sz w:val="24"/>
          <w:lang w:val="de-DE"/>
        </w:rPr>
        <w:t>S</w:t>
      </w:r>
      <w:r w:rsidRPr="00350A19">
        <w:rPr>
          <w:rFonts w:ascii="Tahoma" w:hAnsi="Tahoma" w:cs="Tahoma"/>
          <w:sz w:val="24"/>
          <w:lang w:val="de-DE"/>
        </w:rPr>
        <w:t>toffliches Rückhaltevermögen gemäß Trennerlass NRW geprüft durch das IKT</w:t>
      </w:r>
    </w:p>
    <w:p w14:paraId="467FFDD3" w14:textId="185474DA"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Verifiziert durch New Jersey Corporation for Advanced Technology nach Prüfprotokoll 2021</w:t>
      </w:r>
    </w:p>
    <w:p w14:paraId="27AFCB3F" w14:textId="41BA7444" w:rsidR="00350A19" w:rsidRPr="00350A19" w:rsidRDefault="00350A19" w:rsidP="00350A19">
      <w:pPr>
        <w:pStyle w:val="Listenabsatz"/>
        <w:numPr>
          <w:ilvl w:val="0"/>
          <w:numId w:val="2"/>
        </w:numPr>
        <w:rPr>
          <w:rFonts w:ascii="Tahoma" w:hAnsi="Tahoma" w:cs="Tahoma"/>
          <w:sz w:val="24"/>
          <w:lang w:val="de-DE"/>
        </w:rPr>
      </w:pPr>
      <w:r w:rsidRPr="00350A19">
        <w:rPr>
          <w:rFonts w:ascii="Tahoma" w:hAnsi="Tahoma" w:cs="Tahoma"/>
          <w:sz w:val="24"/>
          <w:lang w:val="de-DE"/>
        </w:rPr>
        <w:t xml:space="preserve">Geprüft nach BW </w:t>
      </w:r>
      <w:proofErr w:type="spellStart"/>
      <w:r w:rsidRPr="00350A19">
        <w:rPr>
          <w:rFonts w:ascii="Tahoma" w:hAnsi="Tahoma" w:cs="Tahoma"/>
          <w:sz w:val="24"/>
          <w:lang w:val="de-DE"/>
        </w:rPr>
        <w:t>CoP</w:t>
      </w:r>
      <w:proofErr w:type="spellEnd"/>
      <w:r w:rsidRPr="00350A19">
        <w:rPr>
          <w:rFonts w:ascii="Tahoma" w:hAnsi="Tahoma" w:cs="Tahoma"/>
          <w:sz w:val="24"/>
          <w:lang w:val="de-DE"/>
        </w:rPr>
        <w:t xml:space="preserve"> (British </w:t>
      </w:r>
      <w:proofErr w:type="spellStart"/>
      <w:r w:rsidRPr="00350A19">
        <w:rPr>
          <w:rFonts w:ascii="Tahoma" w:hAnsi="Tahoma" w:cs="Tahoma"/>
          <w:sz w:val="24"/>
          <w:lang w:val="de-DE"/>
        </w:rPr>
        <w:t>Water</w:t>
      </w:r>
      <w:proofErr w:type="spellEnd"/>
      <w:r w:rsidRPr="00350A19">
        <w:rPr>
          <w:rFonts w:ascii="Tahoma" w:hAnsi="Tahoma" w:cs="Tahoma"/>
          <w:sz w:val="24"/>
          <w:lang w:val="de-DE"/>
        </w:rPr>
        <w:t xml:space="preserve"> Code of Practice) </w:t>
      </w:r>
    </w:p>
    <w:p w14:paraId="23312BDC" w14:textId="71EA31C9" w:rsidR="008075EC" w:rsidRDefault="008075EC" w:rsidP="00557810">
      <w:pPr>
        <w:rPr>
          <w:rFonts w:ascii="Tahoma" w:hAnsi="Tahoma" w:cs="Tahoma"/>
          <w:sz w:val="24"/>
          <w:lang w:val="de-DE"/>
        </w:rPr>
      </w:pPr>
    </w:p>
    <w:p w14:paraId="4084D239" w14:textId="290B34C3" w:rsidR="00E919C7" w:rsidRPr="00646C84" w:rsidRDefault="00E919C7" w:rsidP="00557810">
      <w:pPr>
        <w:rPr>
          <w:rFonts w:ascii="Tahoma" w:hAnsi="Tahoma" w:cs="Tahoma"/>
          <w:sz w:val="24"/>
          <w:lang w:val="de-DE"/>
        </w:rPr>
      </w:pPr>
      <w:r>
        <w:rPr>
          <w:rFonts w:ascii="Tahoma" w:hAnsi="Tahoma" w:cs="Tahoma"/>
          <w:sz w:val="24"/>
          <w:lang w:val="de-DE"/>
        </w:rPr>
        <w:t>Bauhöhe Rohrsohle bis GOK: ________________</w:t>
      </w:r>
    </w:p>
    <w:p w14:paraId="4768E5F7" w14:textId="6D64EC7D" w:rsidR="008075EC" w:rsidRPr="00646C84" w:rsidRDefault="0018775E" w:rsidP="008075EC">
      <w:pPr>
        <w:pStyle w:val="Angebot"/>
        <w:tabs>
          <w:tab w:val="left" w:pos="2835"/>
        </w:tabs>
        <w:rPr>
          <w:rFonts w:ascii="Tahoma" w:hAnsi="Tahoma" w:cs="Tahoma"/>
        </w:rPr>
      </w:pPr>
      <w:r>
        <w:rPr>
          <w:rFonts w:ascii="Tahoma" w:hAnsi="Tahoma" w:cs="Tahoma"/>
        </w:rPr>
        <w:br/>
      </w:r>
      <w:r w:rsidR="008075EC" w:rsidRPr="00646C84">
        <w:rPr>
          <w:rFonts w:ascii="Tahoma" w:hAnsi="Tahoma" w:cs="Tahoma"/>
        </w:rPr>
        <w:t>Herstellernachweis :</w:t>
      </w:r>
      <w:r w:rsidR="008075EC" w:rsidRPr="00646C84">
        <w:rPr>
          <w:rFonts w:ascii="Tahoma" w:hAnsi="Tahoma" w:cs="Tahoma"/>
        </w:rPr>
        <w:tab/>
      </w:r>
      <w:r w:rsidR="00E919C7">
        <w:rPr>
          <w:rFonts w:ascii="Tahoma" w:hAnsi="Tahoma" w:cs="Tahoma"/>
        </w:rPr>
        <w:t xml:space="preserve">    </w:t>
      </w:r>
      <w:r w:rsidR="008075EC" w:rsidRPr="00646C84">
        <w:rPr>
          <w:rFonts w:ascii="Tahoma" w:hAnsi="Tahoma" w:cs="Tahoma"/>
        </w:rPr>
        <w:t>HABA-Beton</w:t>
      </w:r>
      <w:r w:rsidR="00E919C7">
        <w:rPr>
          <w:rFonts w:ascii="Tahoma" w:hAnsi="Tahoma" w:cs="Tahoma"/>
        </w:rPr>
        <w:t xml:space="preserve"> Johann Bartlechner KG</w:t>
      </w:r>
    </w:p>
    <w:p w14:paraId="1E4B11B8" w14:textId="0B1441BD" w:rsidR="008538BF" w:rsidRPr="0018775E" w:rsidRDefault="008075EC" w:rsidP="008075EC">
      <w:pPr>
        <w:tabs>
          <w:tab w:val="left" w:pos="2835"/>
        </w:tabs>
        <w:rPr>
          <w:rFonts w:ascii="Tahoma" w:hAnsi="Tahoma" w:cs="Tahoma"/>
          <w:lang w:val="de-DE"/>
        </w:rPr>
      </w:pPr>
      <w:r w:rsidRPr="00646C84">
        <w:rPr>
          <w:rFonts w:ascii="Tahoma" w:hAnsi="Tahoma" w:cs="Tahoma"/>
          <w:sz w:val="24"/>
          <w:lang w:val="de-DE"/>
        </w:rPr>
        <w:tab/>
      </w:r>
      <w:r w:rsidR="00E919C7">
        <w:rPr>
          <w:rFonts w:ascii="Tahoma" w:hAnsi="Tahoma" w:cs="Tahoma"/>
          <w:sz w:val="24"/>
          <w:lang w:val="de-DE"/>
        </w:rPr>
        <w:t xml:space="preserve"> </w:t>
      </w:r>
      <w:r w:rsidR="00E919C7" w:rsidRPr="0018775E">
        <w:rPr>
          <w:rFonts w:ascii="Tahoma" w:hAnsi="Tahoma" w:cs="Tahoma"/>
          <w:sz w:val="24"/>
          <w:lang w:val="de-DE"/>
        </w:rPr>
        <w:t xml:space="preserve">   </w:t>
      </w:r>
      <w:hyperlink r:id="rId8" w:history="1">
        <w:r w:rsidR="00E919C7" w:rsidRPr="0018775E">
          <w:rPr>
            <w:rStyle w:val="Hyperlink"/>
            <w:rFonts w:ascii="Tahoma" w:hAnsi="Tahoma" w:cs="Tahoma"/>
            <w:color w:val="auto"/>
            <w:sz w:val="24"/>
            <w:u w:val="none"/>
            <w:lang w:val="de-DE"/>
          </w:rPr>
          <w:t>www.haba-beton.de</w:t>
        </w:r>
      </w:hyperlink>
    </w:p>
    <w:sectPr w:rsidR="008538BF" w:rsidRPr="0018775E" w:rsidSect="00BE1785">
      <w:headerReference w:type="default" r:id="rId9"/>
      <w:footerReference w:type="default" r:id="rId10"/>
      <w:type w:val="continuous"/>
      <w:pgSz w:w="11910" w:h="16850"/>
      <w:pgMar w:top="1394" w:right="680" w:bottom="720" w:left="680" w:header="425" w:footer="3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A450" w14:textId="77777777" w:rsidR="00CF00BE" w:rsidRDefault="00CF00BE" w:rsidP="00CF00BE">
      <w:r>
        <w:separator/>
      </w:r>
    </w:p>
  </w:endnote>
  <w:endnote w:type="continuationSeparator" w:id="0">
    <w:p w14:paraId="697315E9" w14:textId="77777777" w:rsidR="00CF00BE" w:rsidRDefault="00CF00BE" w:rsidP="00CF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830" w:type="dxa"/>
      <w:tblBorders>
        <w:insideH w:val="nil"/>
        <w:insideV w:val="nil"/>
      </w:tblBorders>
      <w:tblLayout w:type="fixed"/>
      <w:tblLook w:val="01E0" w:firstRow="1" w:lastRow="1" w:firstColumn="1" w:lastColumn="1" w:noHBand="0" w:noVBand="0"/>
    </w:tblPr>
    <w:tblGrid>
      <w:gridCol w:w="2941"/>
      <w:gridCol w:w="4742"/>
      <w:gridCol w:w="3147"/>
    </w:tblGrid>
    <w:tr w:rsidR="00313F18" w14:paraId="5A48588E" w14:textId="77777777" w:rsidTr="008E24C3">
      <w:trPr>
        <w:trHeight w:hRule="exact" w:val="185"/>
      </w:trPr>
      <w:tc>
        <w:tcPr>
          <w:tcW w:w="2942" w:type="dxa"/>
          <w:tcBorders>
            <w:top w:val="single" w:sz="2" w:space="0" w:color="818181"/>
            <w:left w:val="nil"/>
            <w:bottom w:val="nil"/>
            <w:right w:val="nil"/>
          </w:tcBorders>
        </w:tcPr>
        <w:p w14:paraId="5E3034C8" w14:textId="77777777" w:rsidR="00313F18" w:rsidRDefault="00313F18" w:rsidP="00313F18">
          <w:pPr>
            <w:pStyle w:val="TableParagraph"/>
            <w:spacing w:before="17"/>
            <w:ind w:left="0"/>
            <w:rPr>
              <w:sz w:val="14"/>
            </w:rPr>
          </w:pPr>
        </w:p>
      </w:tc>
      <w:tc>
        <w:tcPr>
          <w:tcW w:w="4742" w:type="dxa"/>
          <w:tcBorders>
            <w:top w:val="single" w:sz="2" w:space="0" w:color="818181"/>
            <w:left w:val="nil"/>
            <w:bottom w:val="nil"/>
            <w:right w:val="nil"/>
          </w:tcBorders>
        </w:tcPr>
        <w:p w14:paraId="7A65BCC9" w14:textId="77777777" w:rsidR="00313F18" w:rsidRDefault="00313F18" w:rsidP="00313F18">
          <w:pPr>
            <w:pStyle w:val="TableParagraph"/>
            <w:spacing w:before="17"/>
            <w:ind w:left="1363" w:right="1442"/>
            <w:jc w:val="center"/>
            <w:rPr>
              <w:sz w:val="14"/>
            </w:rPr>
          </w:pPr>
        </w:p>
      </w:tc>
      <w:tc>
        <w:tcPr>
          <w:tcW w:w="3147" w:type="dxa"/>
          <w:tcBorders>
            <w:top w:val="single" w:sz="2" w:space="0" w:color="818181"/>
            <w:left w:val="nil"/>
            <w:bottom w:val="nil"/>
            <w:right w:val="nil"/>
          </w:tcBorders>
        </w:tcPr>
        <w:p w14:paraId="2C086CF2" w14:textId="77777777" w:rsidR="00313F18" w:rsidRDefault="00313F18" w:rsidP="00313F18">
          <w:pPr>
            <w:pStyle w:val="TableParagraph"/>
            <w:spacing w:before="17"/>
            <w:ind w:left="0" w:right="309"/>
            <w:jc w:val="right"/>
            <w:rPr>
              <w:sz w:val="14"/>
            </w:rPr>
          </w:pPr>
        </w:p>
      </w:tc>
    </w:tr>
  </w:tbl>
  <w:p w14:paraId="50985035" w14:textId="3814C65C" w:rsidR="00CF00BE" w:rsidRPr="00313F18" w:rsidRDefault="00313F18" w:rsidP="00313F18">
    <w:pPr>
      <w:pStyle w:val="Fuzeile"/>
      <w:tabs>
        <w:tab w:val="clear" w:pos="4536"/>
        <w:tab w:val="clear" w:pos="9072"/>
        <w:tab w:val="left" w:pos="4678"/>
        <w:tab w:val="right" w:pos="10348"/>
      </w:tabs>
      <w:rPr>
        <w:sz w:val="20"/>
        <w:szCs w:val="20"/>
        <w:lang w:val="de-DE"/>
      </w:rPr>
    </w:pPr>
    <w:r>
      <w:rPr>
        <w:sz w:val="20"/>
        <w:szCs w:val="20"/>
      </w:rPr>
      <w:t>HABA–</w:t>
    </w:r>
    <w:proofErr w:type="spellStart"/>
    <w:r>
      <w:rPr>
        <w:sz w:val="20"/>
        <w:szCs w:val="20"/>
      </w:rPr>
      <w:t>Beton</w:t>
    </w:r>
    <w:proofErr w:type="spellEnd"/>
    <w:r>
      <w:rPr>
        <w:sz w:val="20"/>
        <w:szCs w:val="20"/>
      </w:rPr>
      <w:t>, Johann Bartlechner KG</w:t>
    </w:r>
    <w:r w:rsidRPr="00696F9B">
      <w:rPr>
        <w:color w:val="FFFFFF" w:themeColor="background1"/>
        <w:sz w:val="20"/>
        <w:szCs w:val="20"/>
      </w:rPr>
      <w:t>...............................</w:t>
    </w:r>
    <w:hyperlink r:id="rId1" w:history="1">
      <w:r w:rsidRPr="00696F9B">
        <w:rPr>
          <w:rStyle w:val="Hyperlink"/>
          <w:color w:val="000000" w:themeColor="text1"/>
          <w:sz w:val="20"/>
          <w:szCs w:val="20"/>
          <w:u w:val="none"/>
        </w:rPr>
        <w:t>info@haba-beton.de</w:t>
      </w:r>
    </w:hyperlink>
    <w:r>
      <w:rPr>
        <w:color w:val="FFFFFF"/>
        <w:sz w:val="20"/>
        <w:szCs w:val="20"/>
      </w:rPr>
      <w:t>...............................</w:t>
    </w:r>
    <w:r>
      <w:rPr>
        <w:sz w:val="20"/>
        <w:szCs w:val="20"/>
      </w:rPr>
      <w:t>www.haba-beton.de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8348" w14:textId="77777777" w:rsidR="00CF00BE" w:rsidRDefault="00CF00BE" w:rsidP="00CF00BE">
      <w:r>
        <w:separator/>
      </w:r>
    </w:p>
  </w:footnote>
  <w:footnote w:type="continuationSeparator" w:id="0">
    <w:p w14:paraId="75E1BCF7" w14:textId="77777777" w:rsidR="00CF00BE" w:rsidRDefault="00CF00BE" w:rsidP="00CF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D582" w14:textId="77777777" w:rsidR="00A24014" w:rsidRPr="00A24014" w:rsidRDefault="00BE1785" w:rsidP="00BE1785">
    <w:pPr>
      <w:pStyle w:val="Kopfzeile"/>
      <w:tabs>
        <w:tab w:val="clear" w:pos="4536"/>
        <w:tab w:val="clear" w:pos="9072"/>
      </w:tabs>
      <w:spacing w:before="100" w:beforeAutospacing="1" w:after="240"/>
      <w:rPr>
        <w:rFonts w:ascii="Tahoma" w:hAnsi="Tahoma" w:cs="Tahoma"/>
        <w:sz w:val="40"/>
        <w:szCs w:val="40"/>
      </w:rPr>
    </w:pPr>
    <w:r w:rsidRPr="00AA5F75">
      <w:rPr>
        <w:rFonts w:ascii="Tahoma" w:hAnsi="Tahoma" w:cs="Tahoma"/>
        <w:noProof/>
        <w:sz w:val="40"/>
        <w:szCs w:val="40"/>
        <w:u w:val="single"/>
        <w:lang w:val="de-DE" w:eastAsia="de-DE"/>
      </w:rPr>
      <w:drawing>
        <wp:anchor distT="0" distB="0" distL="0" distR="0" simplePos="0" relativeHeight="251659264" behindDoc="0" locked="0" layoutInCell="1" allowOverlap="1" wp14:anchorId="2ED82DBE" wp14:editId="365F9396">
          <wp:simplePos x="0" y="0"/>
          <wp:positionH relativeFrom="page">
            <wp:posOffset>4523492</wp:posOffset>
          </wp:positionH>
          <wp:positionV relativeFrom="paragraph">
            <wp:posOffset>-113030</wp:posOffset>
          </wp:positionV>
          <wp:extent cx="2707005" cy="604520"/>
          <wp:effectExtent l="0" t="0" r="0" b="508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0700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40"/>
        <w:szCs w:val="40"/>
        <w:lang w:val="de-DE" w:eastAsia="de-DE"/>
      </w:rPr>
      <mc:AlternateContent>
        <mc:Choice Requires="wps">
          <w:drawing>
            <wp:anchor distT="0" distB="0" distL="114300" distR="114300" simplePos="0" relativeHeight="251660288" behindDoc="0" locked="0" layoutInCell="1" allowOverlap="1" wp14:anchorId="0BADB8DD" wp14:editId="2299A1D2">
              <wp:simplePos x="0" y="0"/>
              <wp:positionH relativeFrom="column">
                <wp:posOffset>-26035</wp:posOffset>
              </wp:positionH>
              <wp:positionV relativeFrom="paragraph">
                <wp:posOffset>611505</wp:posOffset>
              </wp:positionV>
              <wp:extent cx="6726555" cy="0"/>
              <wp:effectExtent l="0" t="0" r="17145" b="19050"/>
              <wp:wrapNone/>
              <wp:docPr id="2" name="Gerade Verbindung 2"/>
              <wp:cNvGraphicFramePr/>
              <a:graphic xmlns:a="http://schemas.openxmlformats.org/drawingml/2006/main">
                <a:graphicData uri="http://schemas.microsoft.com/office/word/2010/wordprocessingShape">
                  <wps:wsp>
                    <wps:cNvCnPr/>
                    <wps:spPr>
                      <a:xfrm>
                        <a:off x="0" y="0"/>
                        <a:ext cx="67265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456B27" id="Gerade Verbindung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48.15pt" to="527.6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guAEAAMIDAAAOAAAAZHJzL2Uyb0RvYy54bWysU8tu2zAQvBfIPxC815IF2C0EyzkkaC5B&#10;a/SRO00tLQJ8YclY8t93SdtK0QQoWvRCccmd2Z3hanM7WcOOgFF71/HlouYMnPS9doeO//j+6f1H&#10;zmISrhfGO+j4CSK/3d6824yhhcYP3vSAjEhcbMfQ8SGl0FZVlANYERc+gKNL5dGKRCEeqh7FSOzW&#10;VE1dr6vRYx/QS4iRTu/Pl3xb+JUCmb4oFSEx03HqLZUVy7rPa7XdiPaAIgxaXtoQ/9CFFdpR0Znq&#10;XiTBnlG/orJaoo9epYX0tvJKaQlFA6lZ1r+p+TaIAEULmRPDbFP8f7Ty83GHTPcdbzhzwtITPQCK&#10;HtgT4F67/tkdWJNtGkNsKfvO7fASxbDDrHlSaPOX1LCpWHuarYUpMUmH6w/NerVacSavd9ULMGBM&#10;D+Aty5uOG+2yatGK42NMVIxSrykU5EbOpcsunQzkZOO+giIlVGxZ0GWG4M4gOwp6fSEluLTMUoiv&#10;ZGeY0sbMwPrPwEt+hkKZr78Bz4hS2bs0g612Ht+qnqZry+qcf3XgrDtbsPf9qTxKsYYGpSi8DHWe&#10;xF/jAn/59bY/AQAA//8DAFBLAwQUAAYACAAAACEADLRZbeAAAAAJAQAADwAAAGRycy9kb3ducmV2&#10;LnhtbEyPwU7DMBBE70j8g7VIXFDrtDRVCdlUgFT1UBCi4QPceEki4nUUO2nK19cVBzjOzmjmbboe&#10;TSMG6lxtGWE2jUAQF1bXXCJ85pvJCoTzirVqLBPCiRyss+urVCXaHvmDhr0vRShhlyiEyvs2kdIV&#10;FRnlprYlDt6X7YzyQXal1J06hnLTyHkULaVRNYeFSrX0UlHxve8NwnbzTLv41JcLHW/zuyF/fft5&#10;XyHe3oxPjyA8jf4vDBf8gA5ZYDrYnrUTDcJkMQtJhIflPYiLH8XxHMTh9yKzVP7/IDsDAAD//wMA&#10;UEsBAi0AFAAGAAgAAAAhALaDOJL+AAAA4QEAABMAAAAAAAAAAAAAAAAAAAAAAFtDb250ZW50X1R5&#10;cGVzXS54bWxQSwECLQAUAAYACAAAACEAOP0h/9YAAACUAQAACwAAAAAAAAAAAAAAAAAvAQAAX3Jl&#10;bHMvLnJlbHNQSwECLQAUAAYACAAAACEAPlnwYLgBAADCAwAADgAAAAAAAAAAAAAAAAAuAgAAZHJz&#10;L2Uyb0RvYy54bWxQSwECLQAUAAYACAAAACEADLRZbeAAAAAJAQAADwAAAAAAAAAAAAAAAAASBAAA&#10;ZHJzL2Rvd25yZXYueG1sUEsFBgAAAAAEAAQA8wAAAB8FAAAAAA==&#10;" strokecolor="#4579b8 [3044]"/>
          </w:pict>
        </mc:Fallback>
      </mc:AlternateContent>
    </w:r>
    <w:proofErr w:type="spellStart"/>
    <w:r w:rsidR="008538BF" w:rsidRPr="00AA5F75">
      <w:rPr>
        <w:rFonts w:ascii="Tahoma" w:hAnsi="Tahoma" w:cs="Tahoma"/>
        <w:sz w:val="40"/>
        <w:szCs w:val="40"/>
        <w:u w:val="single"/>
      </w:rPr>
      <w:t>Ausschreibungstexte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14C79"/>
    <w:multiLevelType w:val="hybridMultilevel"/>
    <w:tmpl w:val="01D8F42C"/>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3B41AB"/>
    <w:multiLevelType w:val="hybridMultilevel"/>
    <w:tmpl w:val="E0F227A6"/>
    <w:lvl w:ilvl="0" w:tplc="D416DAF0">
      <w:numFmt w:val="bullet"/>
      <w:lvlText w:val="-"/>
      <w:lvlJc w:val="left"/>
      <w:pPr>
        <w:ind w:left="720" w:hanging="360"/>
      </w:pPr>
      <w:rPr>
        <w:rFonts w:ascii="Tahoma" w:eastAsia="Arial"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9E"/>
    <w:rsid w:val="00083958"/>
    <w:rsid w:val="00100DD0"/>
    <w:rsid w:val="00113CF9"/>
    <w:rsid w:val="0018775E"/>
    <w:rsid w:val="0019780C"/>
    <w:rsid w:val="001C685D"/>
    <w:rsid w:val="00255003"/>
    <w:rsid w:val="002D1F0D"/>
    <w:rsid w:val="003076A4"/>
    <w:rsid w:val="00313F18"/>
    <w:rsid w:val="00350A19"/>
    <w:rsid w:val="00367A97"/>
    <w:rsid w:val="00445A4A"/>
    <w:rsid w:val="00486B59"/>
    <w:rsid w:val="00513F38"/>
    <w:rsid w:val="00557810"/>
    <w:rsid w:val="00646C84"/>
    <w:rsid w:val="00660994"/>
    <w:rsid w:val="00675014"/>
    <w:rsid w:val="00693FF5"/>
    <w:rsid w:val="006D45B4"/>
    <w:rsid w:val="006E43CF"/>
    <w:rsid w:val="00771DD5"/>
    <w:rsid w:val="007737BA"/>
    <w:rsid w:val="007A10DA"/>
    <w:rsid w:val="007C000A"/>
    <w:rsid w:val="008075EC"/>
    <w:rsid w:val="00817B9E"/>
    <w:rsid w:val="008538BF"/>
    <w:rsid w:val="008F6578"/>
    <w:rsid w:val="0091516F"/>
    <w:rsid w:val="00A041D3"/>
    <w:rsid w:val="00A24014"/>
    <w:rsid w:val="00A70A84"/>
    <w:rsid w:val="00AA5F75"/>
    <w:rsid w:val="00B02146"/>
    <w:rsid w:val="00B45CD8"/>
    <w:rsid w:val="00BC1E81"/>
    <w:rsid w:val="00BE1785"/>
    <w:rsid w:val="00C1298B"/>
    <w:rsid w:val="00C26F0F"/>
    <w:rsid w:val="00CA1BCA"/>
    <w:rsid w:val="00CF00BE"/>
    <w:rsid w:val="00CF5554"/>
    <w:rsid w:val="00E01E17"/>
    <w:rsid w:val="00E919C7"/>
    <w:rsid w:val="00EC5A3F"/>
    <w:rsid w:val="00F72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24F592"/>
  <w15:docId w15:val="{CC2DA666-CBA0-4CC6-A1D2-8CE26DF5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42"/>
      <w:ind w:left="57"/>
    </w:pPr>
  </w:style>
  <w:style w:type="paragraph" w:styleId="Kopfzeile">
    <w:name w:val="header"/>
    <w:basedOn w:val="Standard"/>
    <w:link w:val="KopfzeileZchn"/>
    <w:uiPriority w:val="99"/>
    <w:unhideWhenUsed/>
    <w:rsid w:val="00CF00BE"/>
    <w:pPr>
      <w:tabs>
        <w:tab w:val="center" w:pos="4536"/>
        <w:tab w:val="right" w:pos="9072"/>
      </w:tabs>
    </w:pPr>
  </w:style>
  <w:style w:type="character" w:customStyle="1" w:styleId="KopfzeileZchn">
    <w:name w:val="Kopfzeile Zchn"/>
    <w:basedOn w:val="Absatz-Standardschriftart"/>
    <w:link w:val="Kopfzeile"/>
    <w:uiPriority w:val="99"/>
    <w:rsid w:val="00CF00BE"/>
    <w:rPr>
      <w:rFonts w:ascii="Arial" w:eastAsia="Arial" w:hAnsi="Arial" w:cs="Arial"/>
    </w:rPr>
  </w:style>
  <w:style w:type="paragraph" w:styleId="Fuzeile">
    <w:name w:val="footer"/>
    <w:basedOn w:val="Standard"/>
    <w:link w:val="FuzeileZchn"/>
    <w:uiPriority w:val="99"/>
    <w:unhideWhenUsed/>
    <w:rsid w:val="00CF00BE"/>
    <w:pPr>
      <w:tabs>
        <w:tab w:val="center" w:pos="4536"/>
        <w:tab w:val="right" w:pos="9072"/>
      </w:tabs>
    </w:pPr>
  </w:style>
  <w:style w:type="character" w:customStyle="1" w:styleId="FuzeileZchn">
    <w:name w:val="Fußzeile Zchn"/>
    <w:basedOn w:val="Absatz-Standardschriftart"/>
    <w:link w:val="Fuzeile"/>
    <w:uiPriority w:val="99"/>
    <w:rsid w:val="00CF00BE"/>
    <w:rPr>
      <w:rFonts w:ascii="Arial" w:eastAsia="Arial" w:hAnsi="Arial" w:cs="Arial"/>
    </w:rPr>
  </w:style>
  <w:style w:type="paragraph" w:styleId="Sprechblasentext">
    <w:name w:val="Balloon Text"/>
    <w:basedOn w:val="Standard"/>
    <w:link w:val="SprechblasentextZchn"/>
    <w:uiPriority w:val="99"/>
    <w:semiHidden/>
    <w:unhideWhenUsed/>
    <w:rsid w:val="00CF00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00BE"/>
    <w:rPr>
      <w:rFonts w:ascii="Tahoma" w:eastAsia="Arial" w:hAnsi="Tahoma" w:cs="Tahoma"/>
      <w:sz w:val="16"/>
      <w:szCs w:val="16"/>
    </w:rPr>
  </w:style>
  <w:style w:type="character" w:styleId="Hyperlink">
    <w:name w:val="Hyperlink"/>
    <w:basedOn w:val="Absatz-Standardschriftart"/>
    <w:uiPriority w:val="99"/>
    <w:unhideWhenUsed/>
    <w:rsid w:val="00CF00BE"/>
    <w:rPr>
      <w:color w:val="0000FF" w:themeColor="hyperlink"/>
      <w:u w:val="single"/>
    </w:rPr>
  </w:style>
  <w:style w:type="paragraph" w:customStyle="1" w:styleId="Angebot">
    <w:name w:val="Angebot"/>
    <w:basedOn w:val="Standard"/>
    <w:rsid w:val="008075EC"/>
    <w:pPr>
      <w:widowControl/>
      <w:autoSpaceDE/>
      <w:autoSpaceDN/>
    </w:pPr>
    <w:rPr>
      <w:rFonts w:eastAsia="Times New Roman" w:cs="Times New Roman"/>
      <w:sz w:val="24"/>
      <w:szCs w:val="20"/>
      <w:lang w:val="de-DE" w:eastAsia="de-DE"/>
    </w:rPr>
  </w:style>
  <w:style w:type="character" w:styleId="NichtaufgelsteErwhnung">
    <w:name w:val="Unresolved Mention"/>
    <w:basedOn w:val="Absatz-Standardschriftart"/>
    <w:uiPriority w:val="99"/>
    <w:semiHidden/>
    <w:unhideWhenUsed/>
    <w:rsid w:val="00E9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aba-beto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haba-bet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7D83-694B-4424-9789-F2EEA460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Preisliste 2000</vt:lpstr>
    </vt:vector>
  </TitlesOfParts>
  <Company>HABA</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Preisliste 2000</dc:title>
  <dc:creator>Zuleger Herbert</dc:creator>
  <cp:lastModifiedBy>Heckmann, Michael</cp:lastModifiedBy>
  <cp:revision>4</cp:revision>
  <cp:lastPrinted>2025-04-09T13:01:00Z</cp:lastPrinted>
  <dcterms:created xsi:type="dcterms:W3CDTF">2025-07-08T06:38:00Z</dcterms:created>
  <dcterms:modified xsi:type="dcterms:W3CDTF">2025-07-08T06:45:00Z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2014-07-10T00:00:00Z</vt:filetime>
  </property>
  <property fmtid="{D5CDD505-2E9C-101B-9397-08002B2CF9AE}" pid="3" name="Creator">
    <vt:lpwstr>Acrobat PDFMaker 10.1 für Word</vt:lpwstr>
  </property>
  <property fmtid="{D5CDD505-2E9C-101B-9397-08002B2CF9AE}" pid="4" name="LastSaved">
    <vt:filetime>2017-03-06T00:00:00Z</vt:filetime>
  </property>
</Properties>
</file>